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36" w:lineRule="auto"/>
        <w:jc w:val="both"/>
      </w:pPr>
      <w:r>
        <w:rPr>
          <w:rtl w:val="0"/>
          <w:lang w:val="en-US"/>
        </w:rPr>
        <w:t xml:space="preserve">The phrase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good things come in small packages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may be a cliche but in case of the compact and diverse Wales it is undeniably true.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 xml:space="preserve">Wales offers myriad opportunities for escaping into nature. An extensive network of paths makes Wales a hikers paradise and castles are a common feature of the Welsh landscape. You could visit a different one everyday for a year and still not see them all. But beyond that it is interactions with the Welsh people that will remain in your memory the longest.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>Since 2012 all of Wales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 famously beautiful coastal paths have been linked up in one continuous 870km route. The best stretch is taken in the Garrow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beautiful beaches, Pembrookshires beautiful multicolored cliffs and limestone arches. The rugged northwest corner of the country has rocky mountain peaks are glorious under the Summer sun and even better under a blanket of snow. Snowdonia is one of Wales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absolute treasures.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>Some places have a presence all of their own and that is certainly true of St. David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s. Officially a city, but more like a large village, the peaceful home of Wale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Patron Saint has att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622300</wp:posOffset>
            </wp:positionH>
            <wp:positionV relativeFrom="page">
              <wp:posOffset>9320732</wp:posOffset>
            </wp:positionV>
            <wp:extent cx="6120057" cy="93000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icens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30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 xml:space="preserve">acked the spiritually minded for centuries.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>There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barely a town in Wales of any note that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have a castle towering over it but Conway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Castle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solid walls and fairy tale towers make it arguably the most beautiful of them all.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 xml:space="preserve">Many fine restaurants have sprung up in the flesh country side. Local craft breweries supply he better local pubs while Panderra has bought Whiskey back to this once teetotaler land.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 xml:space="preserve">High season runs July through August. April to June are the driest months. Travel costs in Wales can range from less than fifty pounds a day if you choose a dorm bed and a cheap meal in a cafe or pub to over 120 pounds a day for a good hotel and a three course meal.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 xml:space="preserve">Buses are the most useful form of public transport with routes connecting most towns and villages. A car will get you to remote corners of Wales not connected to public transport. </w:t>
      </w:r>
    </w:p>
    <w:p>
      <w:pPr>
        <w:pStyle w:val="Body"/>
        <w:spacing w:line="336" w:lineRule="auto"/>
        <w:jc w:val="both"/>
      </w:pPr>
    </w:p>
    <w:p>
      <w:pPr>
        <w:pStyle w:val="Body"/>
        <w:spacing w:line="336" w:lineRule="auto"/>
        <w:jc w:val="both"/>
      </w:pPr>
      <w:r>
        <w:rPr>
          <w:rtl w:val="0"/>
          <w:lang w:val="en-US"/>
        </w:rPr>
        <w:t xml:space="preserve">They talk a lot in Wales about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Hiraeth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A Welsh word that refers to a sense of longing for the green green grass of home. Even if you are not from Wales the feeling of </w:t>
      </w:r>
      <w:r>
        <w:rPr>
          <w:rtl w:val="0"/>
          <w:lang w:val="en-US"/>
        </w:rPr>
        <w:t>Hiraeth</w:t>
      </w:r>
      <w:r>
        <w:rPr>
          <w:rtl w:val="0"/>
          <w:lang w:val="en-US"/>
        </w:rPr>
        <w:t xml:space="preserve"> can hit you when you leave, only to be sated when you return.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-104050</wp:posOffset>
            </wp:positionH>
            <wp:positionV relativeFrom="page">
              <wp:posOffset>571500</wp:posOffset>
            </wp:positionV>
            <wp:extent cx="6120057" cy="93000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ranscriptBanner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9300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